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205" w:rsidRDefault="00141460">
      <w:pPr>
        <w:rPr>
          <w:lang w:val="ru-RU"/>
        </w:rPr>
      </w:pPr>
      <w:r>
        <w:rPr>
          <w:i/>
          <w:noProof/>
          <w:sz w:val="22"/>
          <w:szCs w:val="28"/>
          <w:lang w:val="ru-RU" w:eastAsia="ru-RU"/>
        </w:rPr>
        <w:drawing>
          <wp:inline distT="0" distB="0" distL="0" distR="0">
            <wp:extent cx="1938655" cy="673100"/>
            <wp:effectExtent l="19050" t="0" r="4445" b="0"/>
            <wp:docPr id="1" name="Рисунок 2" descr="EVROPO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VROPORT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05" w:rsidRDefault="00621205">
      <w:pPr>
        <w:rPr>
          <w:lang w:val="ru-RU"/>
        </w:rPr>
      </w:pPr>
    </w:p>
    <w:p w:rsidR="009500EE" w:rsidRPr="00141460" w:rsidRDefault="00282225">
      <w:pPr>
        <w:rPr>
          <w:rFonts w:asciiTheme="minorHAnsi" w:hAnsiTheme="minorHAnsi"/>
          <w:b/>
          <w:color w:val="002060"/>
          <w:sz w:val="56"/>
          <w:szCs w:val="36"/>
          <w:lang w:val="ru-RU" w:eastAsia="ru-RU"/>
        </w:rPr>
      </w:pPr>
      <w:r w:rsidRPr="00141460">
        <w:rPr>
          <w:rFonts w:asciiTheme="minorHAnsi" w:hAnsiTheme="minorHAnsi"/>
          <w:b/>
          <w:color w:val="002060"/>
          <w:sz w:val="56"/>
          <w:szCs w:val="36"/>
          <w:lang w:val="ru-RU" w:eastAsia="ru-RU"/>
        </w:rPr>
        <w:t xml:space="preserve">ИСПАНСКАЯ БАЛЛАДА </w:t>
      </w:r>
    </w:p>
    <w:p w:rsidR="00141460" w:rsidRPr="00A72C0A" w:rsidRDefault="00141460" w:rsidP="00141460">
      <w:pPr>
        <w:rPr>
          <w:rFonts w:asciiTheme="minorHAnsi" w:hAnsiTheme="minorHAnsi" w:cs="Arial"/>
          <w:b/>
          <w:color w:val="C00000"/>
          <w:sz w:val="22"/>
          <w:szCs w:val="22"/>
          <w:lang w:val="ru-RU"/>
        </w:rPr>
      </w:pPr>
      <w:r w:rsidRPr="00A72C0A">
        <w:rPr>
          <w:rFonts w:asciiTheme="minorHAnsi" w:hAnsiTheme="minorHAnsi" w:cs="Arial"/>
          <w:b/>
          <w:color w:val="C00000"/>
          <w:sz w:val="22"/>
          <w:szCs w:val="22"/>
          <w:lang w:val="ru-RU"/>
        </w:rPr>
        <w:t xml:space="preserve">Заезды: круглый год </w:t>
      </w:r>
      <w:r>
        <w:rPr>
          <w:rFonts w:asciiTheme="minorHAnsi" w:hAnsiTheme="minorHAnsi" w:cs="Arial"/>
          <w:b/>
          <w:color w:val="C00000"/>
          <w:sz w:val="22"/>
          <w:szCs w:val="22"/>
        </w:rPr>
        <w:t>по субботам</w:t>
      </w:r>
      <w:r w:rsidRPr="00A72C0A">
        <w:rPr>
          <w:rFonts w:asciiTheme="minorHAnsi" w:hAnsiTheme="minorHAnsi" w:cs="Arial"/>
          <w:b/>
          <w:color w:val="C00000"/>
          <w:sz w:val="22"/>
          <w:szCs w:val="22"/>
          <w:lang w:val="ru-RU"/>
        </w:rPr>
        <w:t xml:space="preserve"> </w:t>
      </w:r>
    </w:p>
    <w:p w:rsidR="009630CF" w:rsidRPr="00141460" w:rsidRDefault="00141460">
      <w:pPr>
        <w:rPr>
          <w:rFonts w:asciiTheme="minorHAnsi" w:hAnsiTheme="minorHAnsi" w:cs="Arial"/>
          <w:b/>
          <w:color w:val="C00000"/>
          <w:sz w:val="22"/>
          <w:szCs w:val="22"/>
          <w:lang w:val="ru-RU"/>
        </w:rPr>
      </w:pPr>
      <w:r w:rsidRPr="00A72C0A">
        <w:rPr>
          <w:rFonts w:asciiTheme="minorHAnsi" w:hAnsiTheme="minorHAnsi" w:cs="Arial"/>
          <w:b/>
          <w:color w:val="C00000"/>
          <w:sz w:val="22"/>
          <w:szCs w:val="22"/>
          <w:lang w:val="ru-RU"/>
        </w:rPr>
        <w:t>Минимум – 2 человека</w:t>
      </w:r>
    </w:p>
    <w:p w:rsidR="00141460" w:rsidRPr="00141460" w:rsidRDefault="00141460" w:rsidP="00141460">
      <w:pPr>
        <w:rPr>
          <w:b/>
          <w:i/>
          <w:color w:val="FF0000"/>
          <w:sz w:val="12"/>
          <w:szCs w:val="12"/>
        </w:rPr>
      </w:pPr>
      <w:r>
        <w:rPr>
          <w:rFonts w:ascii="Arial" w:hAnsi="Arial" w:cs="Arial"/>
        </w:rPr>
        <w:t>Барселона –Сарагоса- Мадрид - Толедо -  Кордова- Гранада-Севилья – Валенсия- Барселона</w:t>
      </w:r>
    </w:p>
    <w:p w:rsidR="00141460" w:rsidRDefault="00141460" w:rsidP="00141460">
      <w:pPr>
        <w:rPr>
          <w:rFonts w:asciiTheme="minorHAnsi" w:hAnsiTheme="minorHAnsi" w:cs="Arial"/>
          <w:b/>
          <w:bCs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13170" cy="2304415"/>
            <wp:effectExtent l="19050" t="0" r="0" b="0"/>
            <wp:docPr id="9" name="Рисунок 9" descr="Картинки по запросу исп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испан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460" w:rsidRDefault="00141460" w:rsidP="00141460">
      <w:pPr>
        <w:rPr>
          <w:rFonts w:asciiTheme="minorHAnsi" w:hAnsiTheme="minorHAnsi" w:cs="Arial"/>
          <w:b/>
          <w:bCs/>
          <w:sz w:val="28"/>
          <w:lang w:val="ru-RU"/>
        </w:rPr>
      </w:pPr>
    </w:p>
    <w:p w:rsidR="00141460" w:rsidRPr="00A603BA" w:rsidRDefault="00141460" w:rsidP="00141460">
      <w:pPr>
        <w:rPr>
          <w:rFonts w:asciiTheme="minorHAnsi" w:hAnsiTheme="minorHAnsi" w:cs="Arial"/>
          <w:b/>
          <w:color w:val="C00000"/>
          <w:sz w:val="22"/>
          <w:szCs w:val="22"/>
          <w:lang w:val="ru-RU"/>
        </w:rPr>
      </w:pPr>
      <w:r w:rsidRPr="00AE705D">
        <w:rPr>
          <w:rFonts w:asciiTheme="minorHAnsi" w:hAnsiTheme="minorHAnsi" w:cs="Arial"/>
          <w:b/>
          <w:bCs/>
          <w:sz w:val="28"/>
        </w:rPr>
        <w:t>Групповой тур</w:t>
      </w:r>
    </w:p>
    <w:p w:rsidR="00141460" w:rsidRPr="00167B51" w:rsidRDefault="00141460" w:rsidP="00141460">
      <w:pPr>
        <w:rPr>
          <w:rFonts w:asciiTheme="minorHAnsi" w:hAnsiTheme="minorHAnsi" w:cs="Arial"/>
          <w:b/>
          <w:bCs/>
          <w:sz w:val="28"/>
          <w:lang w:val="ru-RU"/>
        </w:rPr>
      </w:pPr>
      <w:r w:rsidRPr="00AE705D">
        <w:rPr>
          <w:rFonts w:asciiTheme="minorHAnsi" w:hAnsiTheme="minorHAnsi" w:cs="Arial"/>
          <w:b/>
          <w:bCs/>
          <w:sz w:val="28"/>
        </w:rPr>
        <w:t>8 ДНЕЙ/ 7 НОЧЕЙ</w:t>
      </w:r>
      <w:r w:rsidRPr="00AE705D">
        <w:rPr>
          <w:rFonts w:asciiTheme="minorHAnsi" w:hAnsiTheme="minorHAnsi" w:cs="Arial"/>
          <w:b/>
          <w:bCs/>
          <w:sz w:val="28"/>
          <w:lang w:val="ru-RU"/>
        </w:rPr>
        <w:t>:</w:t>
      </w:r>
    </w:p>
    <w:p w:rsidR="009630CF" w:rsidRPr="00C76E12" w:rsidRDefault="009630CF">
      <w:pPr>
        <w:rPr>
          <w:sz w:val="8"/>
          <w:szCs w:val="8"/>
          <w:lang w:val="ru-RU"/>
        </w:rPr>
      </w:pPr>
    </w:p>
    <w:tbl>
      <w:tblPr>
        <w:tblW w:w="9930" w:type="dxa"/>
        <w:tblCellSpacing w:w="0" w:type="dxa"/>
        <w:tblInd w:w="-127" w:type="dxa"/>
        <w:tblCellMar>
          <w:left w:w="0" w:type="dxa"/>
          <w:right w:w="0" w:type="dxa"/>
        </w:tblCellMar>
        <w:tblLook w:val="04A0"/>
      </w:tblPr>
      <w:tblGrid>
        <w:gridCol w:w="1846"/>
        <w:gridCol w:w="8084"/>
      </w:tblGrid>
      <w:tr w:rsidR="00141460" w:rsidTr="00141460">
        <w:trPr>
          <w:trHeight w:val="557"/>
          <w:tblCellSpacing w:w="0" w:type="dxa"/>
        </w:trPr>
        <w:tc>
          <w:tcPr>
            <w:tcW w:w="1846" w:type="dxa"/>
            <w:hideMark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color w:val="C00000"/>
                <w:sz w:val="24"/>
                <w:szCs w:val="22"/>
                <w:lang w:val="ru-RU" w:eastAsia="ru-RU" w:bidi="ar-SA"/>
              </w:rPr>
              <w:t xml:space="preserve">1 день </w:t>
            </w:r>
            <w:r w:rsidRPr="00141460">
              <w:rPr>
                <w:sz w:val="22"/>
                <w:szCs w:val="22"/>
                <w:lang w:val="ru-RU" w:eastAsia="ru-RU" w:bidi="ar-SA"/>
              </w:rPr>
              <w:br/>
              <w:t xml:space="preserve">Барселона </w:t>
            </w:r>
          </w:p>
        </w:tc>
        <w:tc>
          <w:tcPr>
            <w:tcW w:w="8084" w:type="dxa"/>
            <w:hideMark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b/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sz w:val="22"/>
                <w:szCs w:val="22"/>
                <w:lang w:val="ru-RU" w:eastAsia="ru-RU" w:bidi="ar-SA"/>
              </w:rPr>
              <w:t>Прибытие в Барселону.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Трансфер в отель.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Ужин в в архитектурном музее «Испанская деревня»*. Посещение представления Волшебного фонтана Барселоны.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Ночлег. 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</w:p>
        </w:tc>
      </w:tr>
      <w:tr w:rsidR="00141460" w:rsidTr="00141460">
        <w:trPr>
          <w:trHeight w:val="1114"/>
          <w:tblCellSpacing w:w="0" w:type="dxa"/>
        </w:trPr>
        <w:tc>
          <w:tcPr>
            <w:tcW w:w="1846" w:type="dxa"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b/>
                <w:color w:val="C00000"/>
                <w:sz w:val="24"/>
                <w:szCs w:val="22"/>
                <w:lang w:val="ru-RU" w:eastAsia="ru-RU" w:bidi="ar-SA"/>
              </w:rPr>
            </w:pPr>
            <w:r w:rsidRPr="00141460">
              <w:rPr>
                <w:b/>
                <w:color w:val="C00000"/>
                <w:sz w:val="24"/>
                <w:szCs w:val="22"/>
                <w:lang w:val="ru-RU" w:eastAsia="ru-RU" w:bidi="ar-SA"/>
              </w:rPr>
              <w:t>2 день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>Барселона-Сарагоса-Мадрид</w:t>
            </w:r>
          </w:p>
        </w:tc>
        <w:tc>
          <w:tcPr>
            <w:tcW w:w="8084" w:type="dxa"/>
            <w:hideMark/>
          </w:tcPr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Завтрак.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sz w:val="22"/>
                <w:szCs w:val="22"/>
                <w:lang w:val="ru-RU" w:eastAsia="ru-RU" w:bidi="ar-SA"/>
              </w:rPr>
              <w:t>Экскурсия по Барселоне</w:t>
            </w:r>
            <w:r w:rsidRPr="00141460">
              <w:rPr>
                <w:sz w:val="22"/>
                <w:szCs w:val="22"/>
                <w:lang w:val="ru-RU" w:eastAsia="ru-RU" w:bidi="ar-SA"/>
              </w:rPr>
              <w:t xml:space="preserve"> с осмотром главных достопримечательностей.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В 13 часов-трансфер в Мадрид с остановкой и короткой экскурсией по центру Сарагосы.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Поздний ночлег.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</w:p>
        </w:tc>
      </w:tr>
      <w:tr w:rsidR="00141460" w:rsidTr="00141460">
        <w:trPr>
          <w:trHeight w:val="846"/>
          <w:tblCellSpacing w:w="0" w:type="dxa"/>
        </w:trPr>
        <w:tc>
          <w:tcPr>
            <w:tcW w:w="1846" w:type="dxa"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b/>
                <w:color w:val="C00000"/>
                <w:sz w:val="24"/>
                <w:szCs w:val="22"/>
                <w:lang w:val="ru-RU" w:eastAsia="ru-RU" w:bidi="ar-SA"/>
              </w:rPr>
            </w:pPr>
            <w:r w:rsidRPr="00141460">
              <w:rPr>
                <w:b/>
                <w:color w:val="C00000"/>
                <w:sz w:val="24"/>
                <w:szCs w:val="22"/>
                <w:lang w:val="ru-RU" w:eastAsia="ru-RU" w:bidi="ar-SA"/>
              </w:rPr>
              <w:t xml:space="preserve">3 день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Мадрид </w:t>
            </w:r>
          </w:p>
        </w:tc>
        <w:tc>
          <w:tcPr>
            <w:tcW w:w="8084" w:type="dxa"/>
            <w:hideMark/>
          </w:tcPr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Завтрак.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sz w:val="22"/>
                <w:szCs w:val="22"/>
                <w:lang w:val="ru-RU" w:eastAsia="ru-RU" w:bidi="ar-SA"/>
              </w:rPr>
              <w:t>Обзорная экскурсия</w:t>
            </w:r>
            <w:r w:rsidRPr="00141460">
              <w:rPr>
                <w:sz w:val="22"/>
                <w:szCs w:val="22"/>
                <w:lang w:val="ru-RU" w:eastAsia="ru-RU" w:bidi="ar-SA"/>
              </w:rPr>
              <w:t xml:space="preserve"> по столице Испании: площади Колумба и Испании, бульвары Реколетас и Кастельяно, пасео Прадо, монументальной арены «Лас Вентас», храма Дебот, Сан Франциско Гранде, вокзала Аточа.  Обед. 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Свободное время для посещения музея Прадо без гида.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>Ночлег.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</w:p>
        </w:tc>
      </w:tr>
      <w:tr w:rsidR="00141460" w:rsidTr="00141460">
        <w:trPr>
          <w:trHeight w:val="1132"/>
          <w:tblCellSpacing w:w="0" w:type="dxa"/>
        </w:trPr>
        <w:tc>
          <w:tcPr>
            <w:tcW w:w="1846" w:type="dxa"/>
            <w:hideMark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b/>
                <w:color w:val="C00000"/>
                <w:sz w:val="24"/>
                <w:szCs w:val="22"/>
                <w:lang w:val="ru-RU" w:eastAsia="ru-RU" w:bidi="ar-SA"/>
              </w:rPr>
            </w:pPr>
            <w:r w:rsidRPr="00141460">
              <w:rPr>
                <w:b/>
                <w:color w:val="C00000"/>
                <w:sz w:val="24"/>
                <w:szCs w:val="22"/>
                <w:lang w:val="ru-RU" w:eastAsia="ru-RU" w:bidi="ar-SA"/>
              </w:rPr>
              <w:t xml:space="preserve">4 день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>Мадрид – Толедо - Кордова</w:t>
            </w:r>
          </w:p>
        </w:tc>
        <w:tc>
          <w:tcPr>
            <w:tcW w:w="8084" w:type="dxa"/>
            <w:hideMark/>
          </w:tcPr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Завтрак.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sz w:val="22"/>
                <w:szCs w:val="22"/>
                <w:lang w:val="ru-RU" w:eastAsia="ru-RU" w:bidi="ar-SA"/>
              </w:rPr>
              <w:t>Экскурсия в  Толедо</w:t>
            </w:r>
            <w:r w:rsidRPr="00141460">
              <w:rPr>
                <w:sz w:val="22"/>
                <w:szCs w:val="22"/>
                <w:lang w:val="ru-RU" w:eastAsia="ru-RU" w:bidi="ar-SA"/>
              </w:rPr>
              <w:t xml:space="preserve"> (Всемирное наследие ЮНЕСКО) с его знаменитым Кафедральным собором,  церквями и монастырями,  еврейским кварталом.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sz w:val="22"/>
                <w:szCs w:val="22"/>
                <w:lang w:val="ru-RU" w:eastAsia="ru-RU" w:bidi="ar-SA"/>
              </w:rPr>
              <w:t>Переезд в Андалусию</w:t>
            </w:r>
            <w:r w:rsidRPr="00141460">
              <w:rPr>
                <w:sz w:val="22"/>
                <w:szCs w:val="22"/>
                <w:lang w:val="ru-RU" w:eastAsia="ru-RU" w:bidi="ar-SA"/>
              </w:rPr>
              <w:t xml:space="preserve"> через просторы Кастилии-Ла Манчи. Посещение Кордовы, бывшей столицы арабского халифата</w:t>
            </w:r>
            <w:r w:rsidRPr="00141460">
              <w:rPr>
                <w:i/>
                <w:iCs/>
                <w:sz w:val="22"/>
                <w:szCs w:val="22"/>
                <w:lang w:val="ru-RU" w:eastAsia="ru-RU" w:bidi="ar-SA"/>
              </w:rPr>
              <w:t>:</w:t>
            </w:r>
            <w:r w:rsidRPr="00141460">
              <w:rPr>
                <w:sz w:val="22"/>
                <w:szCs w:val="22"/>
                <w:lang w:val="ru-RU" w:eastAsia="ru-RU" w:bidi="ar-SA"/>
              </w:rPr>
              <w:t xml:space="preserve"> знаменитая Мечеть-Собор*, Алькасар, еврейский квартал, памятники и улицы старого города.  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>Ужин и ночлег в Севилье  или Кордове.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</w:p>
        </w:tc>
      </w:tr>
      <w:tr w:rsidR="00141460" w:rsidTr="00141460">
        <w:trPr>
          <w:trHeight w:val="1309"/>
          <w:tblCellSpacing w:w="0" w:type="dxa"/>
        </w:trPr>
        <w:tc>
          <w:tcPr>
            <w:tcW w:w="1846" w:type="dxa"/>
            <w:hideMark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b/>
                <w:color w:val="C00000"/>
                <w:sz w:val="24"/>
                <w:szCs w:val="22"/>
                <w:lang w:val="ru-RU" w:eastAsia="ru-RU" w:bidi="ar-SA"/>
              </w:rPr>
            </w:pPr>
            <w:r w:rsidRPr="00141460">
              <w:rPr>
                <w:b/>
                <w:color w:val="C00000"/>
                <w:sz w:val="24"/>
                <w:szCs w:val="22"/>
                <w:lang w:val="ru-RU" w:eastAsia="ru-RU" w:bidi="ar-SA"/>
              </w:rPr>
              <w:lastRenderedPageBreak/>
              <w:t xml:space="preserve">5 день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Севилья </w:t>
            </w:r>
          </w:p>
        </w:tc>
        <w:tc>
          <w:tcPr>
            <w:tcW w:w="8084" w:type="dxa"/>
            <w:hideMark/>
          </w:tcPr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Завтрак.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sz w:val="22"/>
                <w:szCs w:val="22"/>
                <w:lang w:val="ru-RU" w:eastAsia="ru-RU" w:bidi="ar-SA"/>
              </w:rPr>
              <w:t>Экскурсия по Севилье</w:t>
            </w:r>
            <w:r w:rsidRPr="00141460">
              <w:rPr>
                <w:sz w:val="22"/>
                <w:szCs w:val="22"/>
                <w:lang w:val="ru-RU" w:eastAsia="ru-RU" w:bidi="ar-SA"/>
              </w:rPr>
              <w:t>, столице Андалусии</w:t>
            </w:r>
            <w:r w:rsidRPr="00141460">
              <w:rPr>
                <w:b/>
                <w:bCs/>
                <w:sz w:val="22"/>
                <w:szCs w:val="22"/>
                <w:lang w:val="ru-RU" w:eastAsia="ru-RU" w:bidi="ar-SA"/>
              </w:rPr>
              <w:t xml:space="preserve">: </w:t>
            </w:r>
            <w:r w:rsidRPr="00141460">
              <w:rPr>
                <w:sz w:val="22"/>
                <w:szCs w:val="22"/>
                <w:lang w:val="ru-RU" w:eastAsia="ru-RU" w:bidi="ar-SA"/>
              </w:rPr>
              <w:t xml:space="preserve">третий по величине в мире Кафедральный собор*, где находится могила Христофора Колумба, квартал Санта Круз, здание Корриды, площади Испании и Америки, выставочные павильоны 1929 и 1992 года.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Свободное время.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Желающие могут приобрести представление фламенко (от 35 €) или прогулку по реке Гвадалквивир.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Ужин и ночлег.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</w:p>
        </w:tc>
      </w:tr>
      <w:tr w:rsidR="00141460" w:rsidTr="00141460">
        <w:trPr>
          <w:trHeight w:val="808"/>
          <w:tblCellSpacing w:w="0" w:type="dxa"/>
        </w:trPr>
        <w:tc>
          <w:tcPr>
            <w:tcW w:w="1846" w:type="dxa"/>
            <w:hideMark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b/>
                <w:color w:val="C00000"/>
                <w:sz w:val="24"/>
                <w:szCs w:val="22"/>
                <w:lang w:val="ru-RU" w:eastAsia="ru-RU" w:bidi="ar-SA"/>
              </w:rPr>
            </w:pPr>
            <w:r w:rsidRPr="00141460">
              <w:rPr>
                <w:b/>
                <w:color w:val="C00000"/>
                <w:sz w:val="24"/>
                <w:szCs w:val="22"/>
                <w:lang w:val="ru-RU" w:eastAsia="ru-RU" w:bidi="ar-SA"/>
              </w:rPr>
              <w:t xml:space="preserve">6 день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>Гранада</w:t>
            </w:r>
          </w:p>
        </w:tc>
        <w:tc>
          <w:tcPr>
            <w:tcW w:w="8084" w:type="dxa"/>
            <w:hideMark/>
          </w:tcPr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Завтрак.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sz w:val="22"/>
                <w:szCs w:val="22"/>
                <w:lang w:val="ru-RU" w:eastAsia="ru-RU" w:bidi="ar-SA"/>
              </w:rPr>
              <w:t>Переезд  в  Гранаду</w:t>
            </w:r>
            <w:r w:rsidRPr="00141460">
              <w:rPr>
                <w:sz w:val="22"/>
                <w:szCs w:val="22"/>
                <w:lang w:val="ru-RU" w:eastAsia="ru-RU" w:bidi="ar-SA"/>
              </w:rPr>
              <w:t xml:space="preserve">, </w:t>
            </w:r>
            <w:r w:rsidRPr="00141460">
              <w:rPr>
                <w:iCs/>
                <w:sz w:val="22"/>
                <w:szCs w:val="22"/>
                <w:lang w:val="ru-RU" w:eastAsia="ru-RU" w:bidi="ar-SA"/>
              </w:rPr>
              <w:t>экскурсия</w:t>
            </w:r>
            <w:r w:rsidRPr="00141460">
              <w:rPr>
                <w:b/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141460">
              <w:rPr>
                <w:sz w:val="22"/>
                <w:szCs w:val="22"/>
                <w:lang w:val="ru-RU" w:eastAsia="ru-RU" w:bidi="ar-SA"/>
              </w:rPr>
              <w:t xml:space="preserve">с посещением  Альгамбры* или садов Хенералифе*, комплекса самых древних арабских дворцов Европы.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Транзит по Испании</w:t>
            </w:r>
            <w:r w:rsidRPr="00141460">
              <w:rPr>
                <w:sz w:val="22"/>
                <w:szCs w:val="22"/>
                <w:lang w:val="ru-RU" w:eastAsia="ru-RU" w:bidi="ar-SA"/>
              </w:rPr>
              <w:t>, ужин и ночлег в районе Мурсии.</w:t>
            </w:r>
          </w:p>
        </w:tc>
      </w:tr>
      <w:tr w:rsidR="00141460" w:rsidTr="00141460">
        <w:trPr>
          <w:trHeight w:val="1096"/>
          <w:tblCellSpacing w:w="0" w:type="dxa"/>
        </w:trPr>
        <w:tc>
          <w:tcPr>
            <w:tcW w:w="1846" w:type="dxa"/>
            <w:hideMark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b/>
                <w:color w:val="C00000"/>
                <w:sz w:val="24"/>
                <w:szCs w:val="22"/>
                <w:lang w:val="ru-RU" w:eastAsia="ru-RU" w:bidi="ar-SA"/>
              </w:rPr>
            </w:pPr>
            <w:r w:rsidRPr="00141460">
              <w:rPr>
                <w:b/>
                <w:color w:val="C00000"/>
                <w:sz w:val="24"/>
                <w:szCs w:val="22"/>
                <w:lang w:val="ru-RU" w:eastAsia="ru-RU" w:bidi="ar-SA"/>
              </w:rPr>
              <w:t xml:space="preserve">7 день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>Валенсия</w:t>
            </w:r>
          </w:p>
        </w:tc>
        <w:tc>
          <w:tcPr>
            <w:tcW w:w="8084" w:type="dxa"/>
            <w:hideMark/>
          </w:tcPr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Завтрак.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sz w:val="22"/>
                <w:szCs w:val="22"/>
                <w:lang w:val="ru-RU" w:eastAsia="ru-RU" w:bidi="ar-SA"/>
              </w:rPr>
              <w:t>Экскурсия в Валенсию.</w:t>
            </w:r>
            <w:r w:rsidRPr="00141460">
              <w:rPr>
                <w:sz w:val="22"/>
                <w:szCs w:val="22"/>
                <w:lang w:val="ru-RU" w:eastAsia="ru-RU" w:bidi="ar-SA"/>
              </w:rPr>
              <w:t xml:space="preserve"> Пешеходная экскурсия по историческому центру: Собор, в котором хранится копия чаши Грааля, средневековая Биржа, Центральный рынок, Арена,  Центральный вокзал.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Продолжение пути.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Ужин и ночлег в окрестностях Барселоны.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>Для тех, кто улетает из Мадрида- переезд на поез</w:t>
            </w:r>
            <w:r>
              <w:rPr>
                <w:sz w:val="22"/>
                <w:szCs w:val="22"/>
                <w:lang w:val="ru-RU" w:eastAsia="ru-RU" w:bidi="ar-SA"/>
              </w:rPr>
              <w:t>де или автобусе Валенсия-Мадрид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У</w:t>
            </w:r>
            <w:r w:rsidRPr="00141460">
              <w:rPr>
                <w:sz w:val="22"/>
                <w:szCs w:val="22"/>
                <w:lang w:val="ru-RU" w:eastAsia="ru-RU" w:bidi="ar-SA"/>
              </w:rPr>
              <w:t xml:space="preserve">жин и ночлег в Мадриде.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</w:p>
        </w:tc>
      </w:tr>
      <w:tr w:rsidR="00141460" w:rsidTr="00141460">
        <w:trPr>
          <w:trHeight w:val="157"/>
          <w:tblCellSpacing w:w="0" w:type="dxa"/>
        </w:trPr>
        <w:tc>
          <w:tcPr>
            <w:tcW w:w="1846" w:type="dxa"/>
            <w:hideMark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color w:val="C00000"/>
                <w:sz w:val="24"/>
                <w:szCs w:val="22"/>
                <w:lang w:val="ru-RU" w:eastAsia="ru-RU" w:bidi="ar-SA"/>
              </w:rPr>
              <w:t xml:space="preserve">8 день </w:t>
            </w:r>
            <w:r w:rsidRPr="00141460">
              <w:rPr>
                <w:sz w:val="22"/>
                <w:szCs w:val="22"/>
                <w:lang w:val="ru-RU" w:eastAsia="ru-RU" w:bidi="ar-SA"/>
              </w:rPr>
              <w:br/>
              <w:t>Аэропорт</w:t>
            </w:r>
          </w:p>
        </w:tc>
        <w:tc>
          <w:tcPr>
            <w:tcW w:w="8084" w:type="dxa"/>
            <w:hideMark/>
          </w:tcPr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Завтрак.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Групповой трансфер в аэропорт.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b/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sz w:val="22"/>
                <w:szCs w:val="22"/>
                <w:lang w:val="ru-RU" w:eastAsia="ru-RU" w:bidi="ar-SA"/>
              </w:rPr>
              <w:t>Конец тура.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</w:p>
        </w:tc>
      </w:tr>
      <w:tr w:rsidR="00141460" w:rsidTr="00141460">
        <w:trPr>
          <w:trHeight w:val="588"/>
          <w:tblCellSpacing w:w="0" w:type="dxa"/>
        </w:trPr>
        <w:tc>
          <w:tcPr>
            <w:tcW w:w="1846" w:type="dxa"/>
            <w:hideMark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b/>
                <w:color w:val="C00000"/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color w:val="C00000"/>
                <w:sz w:val="24"/>
                <w:szCs w:val="22"/>
                <w:lang w:val="ru-RU" w:eastAsia="ru-RU" w:bidi="ar-SA"/>
              </w:rPr>
              <w:t>ВКЛЮЧАЕТ:</w:t>
            </w:r>
          </w:p>
        </w:tc>
        <w:tc>
          <w:tcPr>
            <w:tcW w:w="8084" w:type="dxa"/>
            <w:hideMark/>
          </w:tcPr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>7 ночлегов в отелях , 7 завтраков, 2 групповых трансфера, 6 ужинов или обедов, экскурсии с русскоговорящим гидом, входные билеты в музеи, обозначенные*.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</w:p>
        </w:tc>
      </w:tr>
      <w:tr w:rsidR="00141460" w:rsidTr="00141460">
        <w:trPr>
          <w:trHeight w:val="543"/>
          <w:tblCellSpacing w:w="0" w:type="dxa"/>
        </w:trPr>
        <w:tc>
          <w:tcPr>
            <w:tcW w:w="1846" w:type="dxa"/>
            <w:hideMark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color w:val="C00000"/>
                <w:sz w:val="24"/>
                <w:szCs w:val="22"/>
                <w:lang w:val="ru-RU" w:eastAsia="ru-RU" w:bidi="ar-SA"/>
              </w:rPr>
              <w:t>ВНИМАНИЕ</w:t>
            </w:r>
          </w:p>
        </w:tc>
        <w:tc>
          <w:tcPr>
            <w:tcW w:w="8084" w:type="dxa"/>
            <w:hideMark/>
          </w:tcPr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b/>
                <w:bCs/>
                <w:color w:val="C00000"/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bCs/>
                <w:color w:val="C00000"/>
                <w:sz w:val="22"/>
                <w:szCs w:val="22"/>
                <w:lang w:val="ru-RU" w:eastAsia="ru-RU" w:bidi="ar-SA"/>
              </w:rPr>
              <w:t xml:space="preserve">Внимание, в сложные даты Святой Недели и Севильской ярмарки возможно размещение в отеле или пансионе 2* вместо 3*. 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b/>
                <w:bCs/>
                <w:sz w:val="22"/>
                <w:szCs w:val="22"/>
                <w:lang w:val="ru-RU" w:eastAsia="ru-RU" w:bidi="ar-SA"/>
              </w:rPr>
              <w:t>В случае невозможности  посещения Альгамбры или Хенералифе, производится  замена на посещение дворцово-паркового комплекса Альксар  в Севилье ( Наследие ЮНЕСКО)</w:t>
            </w:r>
            <w:r w:rsidRPr="00141460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  <w:r w:rsidRPr="00141460">
              <w:rPr>
                <w:sz w:val="22"/>
                <w:szCs w:val="22"/>
                <w:lang w:val="ru-RU" w:eastAsia="ru-RU" w:bidi="ar-SA"/>
              </w:rPr>
              <w:t xml:space="preserve">В программе возможны изменения в порядке проведения экскурсий и времени </w:t>
            </w:r>
            <w:r>
              <w:rPr>
                <w:sz w:val="22"/>
                <w:szCs w:val="22"/>
                <w:lang w:val="ru-RU" w:eastAsia="ru-RU" w:bidi="ar-SA"/>
              </w:rPr>
              <w:t>их начала, замена ужина на обед</w:t>
            </w:r>
            <w:r w:rsidRPr="00141460">
              <w:rPr>
                <w:sz w:val="22"/>
                <w:szCs w:val="22"/>
                <w:lang w:val="ru-RU" w:eastAsia="ru-RU" w:bidi="ar-SA"/>
              </w:rPr>
              <w:t>.</w:t>
            </w:r>
          </w:p>
          <w:p w:rsidR="00141460" w:rsidRPr="00141460" w:rsidRDefault="00141460" w:rsidP="00141460">
            <w:pPr>
              <w:pStyle w:val="a5"/>
              <w:tabs>
                <w:tab w:val="clear" w:pos="4819"/>
                <w:tab w:val="clear" w:pos="9638"/>
                <w:tab w:val="center" w:pos="4677"/>
                <w:tab w:val="right" w:pos="9355"/>
              </w:tabs>
              <w:suppressAutoHyphens w:val="0"/>
              <w:spacing w:before="20"/>
              <w:rPr>
                <w:sz w:val="22"/>
                <w:szCs w:val="22"/>
                <w:lang w:val="ru-RU" w:eastAsia="ru-RU" w:bidi="ar-SA"/>
              </w:rPr>
            </w:pPr>
          </w:p>
        </w:tc>
      </w:tr>
    </w:tbl>
    <w:p w:rsidR="003714F8" w:rsidRPr="00141460" w:rsidRDefault="003714F8" w:rsidP="00141460">
      <w:pPr>
        <w:rPr>
          <w:rFonts w:ascii="Tahoma" w:hAnsi="Tahoma" w:cs="Tahoma"/>
          <w:b/>
          <w:iCs/>
          <w:color w:val="FF0000"/>
        </w:rPr>
      </w:pPr>
    </w:p>
    <w:sectPr w:rsidR="003714F8" w:rsidRPr="00141460" w:rsidSect="00141460">
      <w:pgSz w:w="11906" w:h="16838"/>
      <w:pgMar w:top="567" w:right="707" w:bottom="56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621205"/>
    <w:rsid w:val="00055D39"/>
    <w:rsid w:val="0008511F"/>
    <w:rsid w:val="000D0A17"/>
    <w:rsid w:val="000F3499"/>
    <w:rsid w:val="00141460"/>
    <w:rsid w:val="0021111C"/>
    <w:rsid w:val="00251761"/>
    <w:rsid w:val="00261D24"/>
    <w:rsid w:val="002760A3"/>
    <w:rsid w:val="00282225"/>
    <w:rsid w:val="00296006"/>
    <w:rsid w:val="003714F8"/>
    <w:rsid w:val="00453B00"/>
    <w:rsid w:val="00474CAD"/>
    <w:rsid w:val="00491982"/>
    <w:rsid w:val="005259BF"/>
    <w:rsid w:val="006057F2"/>
    <w:rsid w:val="00621205"/>
    <w:rsid w:val="00655238"/>
    <w:rsid w:val="00692972"/>
    <w:rsid w:val="00787CDF"/>
    <w:rsid w:val="007A3CBB"/>
    <w:rsid w:val="007E6920"/>
    <w:rsid w:val="008374E0"/>
    <w:rsid w:val="008B03BF"/>
    <w:rsid w:val="00913AFC"/>
    <w:rsid w:val="00932A10"/>
    <w:rsid w:val="009500EE"/>
    <w:rsid w:val="009630CF"/>
    <w:rsid w:val="0099159B"/>
    <w:rsid w:val="009C0303"/>
    <w:rsid w:val="009D2544"/>
    <w:rsid w:val="00A96F71"/>
    <w:rsid w:val="00B07AFF"/>
    <w:rsid w:val="00B345E1"/>
    <w:rsid w:val="00BB5E90"/>
    <w:rsid w:val="00C0403B"/>
    <w:rsid w:val="00C76E12"/>
    <w:rsid w:val="00D41842"/>
    <w:rsid w:val="00D605FA"/>
    <w:rsid w:val="00DA6181"/>
    <w:rsid w:val="00E120B7"/>
    <w:rsid w:val="00F7451B"/>
    <w:rsid w:val="00FB5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205"/>
    <w:pPr>
      <w:suppressAutoHyphens/>
    </w:pPr>
    <w:rPr>
      <w:rFonts w:ascii="Times New Roman" w:eastAsia="Times New Roman" w:hAnsi="Times New Roman"/>
      <w:lang w:val="it-IT" w:eastAsia="it-IT"/>
    </w:rPr>
  </w:style>
  <w:style w:type="paragraph" w:styleId="2">
    <w:name w:val="heading 2"/>
    <w:basedOn w:val="a"/>
    <w:next w:val="a"/>
    <w:link w:val="20"/>
    <w:qFormat/>
    <w:rsid w:val="00621205"/>
    <w:pPr>
      <w:keepNext/>
      <w:tabs>
        <w:tab w:val="num" w:pos="576"/>
      </w:tabs>
      <w:ind w:left="576" w:hanging="576"/>
      <w:jc w:val="center"/>
      <w:outlineLvl w:val="1"/>
    </w:pPr>
    <w:rPr>
      <w:i/>
      <w:sz w:val="36"/>
      <w:lang w:eastAsia="he-IL" w:bidi="he-I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74E0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21205"/>
    <w:pPr>
      <w:jc w:val="both"/>
    </w:pPr>
    <w:rPr>
      <w:rFonts w:ascii="Garamond" w:hAnsi="Garamond"/>
      <w:bCs/>
      <w:lang w:val="en-GB"/>
    </w:rPr>
  </w:style>
  <w:style w:type="character" w:customStyle="1" w:styleId="a4">
    <w:name w:val="Основной текст Знак"/>
    <w:basedOn w:val="a0"/>
    <w:link w:val="a3"/>
    <w:rsid w:val="00621205"/>
    <w:rPr>
      <w:rFonts w:ascii="Garamond" w:eastAsia="Times New Roman" w:hAnsi="Garamond" w:cs="Times New Roman"/>
      <w:bCs/>
      <w:sz w:val="20"/>
      <w:szCs w:val="20"/>
      <w:lang w:val="en-GB" w:eastAsia="it-IT"/>
    </w:rPr>
  </w:style>
  <w:style w:type="paragraph" w:styleId="a5">
    <w:name w:val="footer"/>
    <w:basedOn w:val="a"/>
    <w:link w:val="a6"/>
    <w:uiPriority w:val="99"/>
    <w:rsid w:val="00621205"/>
    <w:pPr>
      <w:tabs>
        <w:tab w:val="center" w:pos="4819"/>
        <w:tab w:val="right" w:pos="9638"/>
      </w:tabs>
    </w:pPr>
    <w:rPr>
      <w:lang w:eastAsia="he-IL" w:bidi="he-IL"/>
    </w:rPr>
  </w:style>
  <w:style w:type="character" w:customStyle="1" w:styleId="a6">
    <w:name w:val="Нижний колонтитул Знак"/>
    <w:basedOn w:val="a0"/>
    <w:link w:val="a5"/>
    <w:rsid w:val="00621205"/>
    <w:rPr>
      <w:rFonts w:ascii="Times New Roman" w:eastAsia="Times New Roman" w:hAnsi="Times New Roman" w:cs="Times New Roman"/>
      <w:sz w:val="20"/>
      <w:szCs w:val="20"/>
      <w:lang w:val="it-IT" w:eastAsia="he-IL" w:bidi="he-IL"/>
    </w:rPr>
  </w:style>
  <w:style w:type="character" w:customStyle="1" w:styleId="20">
    <w:name w:val="Заголовок 2 Знак"/>
    <w:basedOn w:val="a0"/>
    <w:link w:val="2"/>
    <w:rsid w:val="00621205"/>
    <w:rPr>
      <w:rFonts w:ascii="Times New Roman" w:eastAsia="Times New Roman" w:hAnsi="Times New Roman" w:cs="Times New Roman"/>
      <w:i/>
      <w:sz w:val="36"/>
      <w:szCs w:val="20"/>
      <w:lang w:val="it-IT" w:eastAsia="he-IL" w:bidi="he-IL"/>
    </w:rPr>
  </w:style>
  <w:style w:type="paragraph" w:styleId="a7">
    <w:name w:val="Balloon Text"/>
    <w:basedOn w:val="a"/>
    <w:link w:val="a8"/>
    <w:uiPriority w:val="99"/>
    <w:semiHidden/>
    <w:unhideWhenUsed/>
    <w:rsid w:val="0062120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1205"/>
    <w:rPr>
      <w:rFonts w:ascii="Tahoma" w:eastAsia="Times New Roman" w:hAnsi="Tahoma" w:cs="Tahoma"/>
      <w:sz w:val="16"/>
      <w:szCs w:val="16"/>
      <w:lang w:val="it-IT" w:eastAsia="it-IT"/>
    </w:rPr>
  </w:style>
  <w:style w:type="character" w:customStyle="1" w:styleId="60">
    <w:name w:val="Заголовок 6 Знак"/>
    <w:basedOn w:val="a0"/>
    <w:link w:val="6"/>
    <w:uiPriority w:val="9"/>
    <w:semiHidden/>
    <w:rsid w:val="008374E0"/>
    <w:rPr>
      <w:rFonts w:ascii="Cambria" w:eastAsia="Times New Roman" w:hAnsi="Cambria" w:cs="Times New Roman"/>
      <w:i/>
      <w:iCs/>
      <w:color w:val="243F60"/>
      <w:sz w:val="20"/>
      <w:szCs w:val="20"/>
      <w:lang w:val="it-IT" w:eastAsia="it-IT"/>
    </w:rPr>
  </w:style>
  <w:style w:type="character" w:styleId="a9">
    <w:name w:val="Strong"/>
    <w:basedOn w:val="a0"/>
    <w:uiPriority w:val="22"/>
    <w:qFormat/>
    <w:rsid w:val="00655238"/>
    <w:rPr>
      <w:b/>
      <w:bCs/>
    </w:rPr>
  </w:style>
  <w:style w:type="character" w:customStyle="1" w:styleId="apple-converted-space">
    <w:name w:val="apple-converted-space"/>
    <w:basedOn w:val="a0"/>
    <w:rsid w:val="00655238"/>
  </w:style>
  <w:style w:type="character" w:styleId="aa">
    <w:name w:val="Emphasis"/>
    <w:basedOn w:val="a0"/>
    <w:uiPriority w:val="20"/>
    <w:qFormat/>
    <w:rsid w:val="0014146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spb-05</dc:creator>
  <cp:lastModifiedBy>spb-06</cp:lastModifiedBy>
  <cp:revision>2</cp:revision>
  <dcterms:created xsi:type="dcterms:W3CDTF">2017-10-19T14:23:00Z</dcterms:created>
  <dcterms:modified xsi:type="dcterms:W3CDTF">2017-10-19T14:23:00Z</dcterms:modified>
</cp:coreProperties>
</file>